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6614A3" w:rsidP="009465D1">
      <w:pPr>
        <w:jc w:val="center"/>
      </w:pPr>
      <w:r>
        <w:t>Healthcare Assignment</w:t>
      </w:r>
    </w:p>
    <w:p w:rsidR="009465D1" w:rsidRDefault="006614A3" w:rsidP="009465D1">
      <w:pPr>
        <w:jc w:val="center"/>
      </w:pPr>
      <w:r>
        <w:t>Name</w:t>
      </w:r>
    </w:p>
    <w:p w:rsidR="009465D1" w:rsidRDefault="006614A3" w:rsidP="009465D1">
      <w:pPr>
        <w:jc w:val="center"/>
      </w:pPr>
      <w:r>
        <w:t>Institution of Affiliation</w:t>
      </w:r>
    </w:p>
    <w:p w:rsidR="009465D1" w:rsidRDefault="006614A3" w:rsidP="009465D1">
      <w:pPr>
        <w:jc w:val="center"/>
      </w:pPr>
      <w:r>
        <w:t>Professor</w:t>
      </w:r>
    </w:p>
    <w:p w:rsidR="009465D1" w:rsidRDefault="006614A3" w:rsidP="009465D1">
      <w:pPr>
        <w:jc w:val="center"/>
      </w:pPr>
      <w:r>
        <w:t>Date</w:t>
      </w: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9465D1" w:rsidP="009465D1">
      <w:pPr>
        <w:jc w:val="center"/>
      </w:pPr>
    </w:p>
    <w:p w:rsidR="009465D1" w:rsidRDefault="006614A3" w:rsidP="009465D1">
      <w:pPr>
        <w:jc w:val="center"/>
      </w:pPr>
      <w:r>
        <w:lastRenderedPageBreak/>
        <w:t>Healthcare Assignment</w:t>
      </w:r>
    </w:p>
    <w:p w:rsidR="00A126BD" w:rsidRPr="009465D1" w:rsidRDefault="006614A3" w:rsidP="009465D1">
      <w:pPr>
        <w:jc w:val="center"/>
        <w:rPr>
          <w:b/>
        </w:rPr>
      </w:pPr>
      <w:r w:rsidRPr="009465D1">
        <w:rPr>
          <w:b/>
        </w:rPr>
        <w:t>Part A</w:t>
      </w:r>
    </w:p>
    <w:p w:rsidR="00F63057" w:rsidRPr="00227DE6" w:rsidRDefault="006614A3" w:rsidP="009465D1">
      <w:pPr>
        <w:ind w:firstLine="720"/>
        <w:rPr>
          <w:rFonts w:eastAsia="Arial" w:cs="Times New Roman"/>
          <w:color w:val="1155CC"/>
          <w:szCs w:val="24"/>
          <w:u w:val="single"/>
        </w:rPr>
      </w:pPr>
      <w:r>
        <w:t xml:space="preserve">Quality of care in the study is determined in the case study by the level of ICU. The higher level is associated with better equipment and </w:t>
      </w:r>
      <w:r>
        <w:t>even specialized care access. This is further reiterated by the comparison of developed and developing countries' healthcare systems. In developed nations, the quality is said to be superior as there are more resources that are invested in the care compare</w:t>
      </w:r>
      <w:r>
        <w:t>d to the developing nations</w:t>
      </w:r>
      <w:r w:rsidR="00227DE6">
        <w:t xml:space="preserve"> (</w:t>
      </w:r>
      <w:r w:rsidR="00227DE6" w:rsidRPr="00A73027">
        <w:rPr>
          <w:rFonts w:eastAsia="Arial" w:cs="Times New Roman"/>
          <w:color w:val="1155CC"/>
          <w:szCs w:val="24"/>
          <w:u w:val="single"/>
        </w:rPr>
        <w:t>Quality of life in the five years after intensive care: A cohort study.</w:t>
      </w:r>
      <w:r w:rsidR="00227DE6">
        <w:rPr>
          <w:rFonts w:eastAsia="Arial" w:cs="Times New Roman"/>
          <w:color w:val="1155CC"/>
          <w:szCs w:val="24"/>
          <w:u w:val="single"/>
        </w:rPr>
        <w:t>)</w:t>
      </w:r>
      <w:r>
        <w:t xml:space="preserve">. The resources ensure that there are much needed sophisticated equipment and highly trained staff to care for the patient. </w:t>
      </w:r>
      <w:r w:rsidR="002857BD">
        <w:t>This relates to what one has learned about quality and perception in healthcare delivery. Quality healthcare services are associated with highly trained staff and care providers</w:t>
      </w:r>
      <w:r w:rsidR="00A73027">
        <w:t xml:space="preserve"> (</w:t>
      </w:r>
      <w:r w:rsidR="00A73027" w:rsidRPr="00A73027">
        <w:rPr>
          <w:rFonts w:eastAsia="Arial" w:cs="Times New Roman"/>
          <w:szCs w:val="24"/>
        </w:rPr>
        <w:t>Sevin</w:t>
      </w:r>
      <w:r w:rsidR="00A73027">
        <w:rPr>
          <w:rFonts w:eastAsia="Arial" w:cs="Times New Roman"/>
          <w:szCs w:val="24"/>
        </w:rPr>
        <w:t xml:space="preserve"> et al., 2018)</w:t>
      </w:r>
      <w:r w:rsidR="002857BD">
        <w:t>. The trained staff has knowledge and skills that would ensure that better decisions are made concerning the condition of the patient. A healthcare setting with enough and a variety of specialized is well placed, especially when dealing with multidisciplinary care. They are able to make the right decisions after a consultation for the best interest of the patient. Additionally, quality is also associated with the availability of equipment for the work. A hospital that has the required and the right equipment is associated with quality healthcare provision. In fact, the perception here is quality healthcare is equal to the availability of the right tools of work.</w:t>
      </w:r>
    </w:p>
    <w:p w:rsidR="007B2DB9" w:rsidRDefault="00B3310C" w:rsidP="00227DE6">
      <w:pPr>
        <w:ind w:firstLine="720"/>
      </w:pPr>
      <w:r>
        <w:t>Th</w:t>
      </w:r>
      <w:r w:rsidR="006614A3">
        <w:t>e future concern needs</w:t>
      </w:r>
      <w:r w:rsidR="006614A3">
        <w:t xml:space="preserve"> to be raised about the premorbid conditions of the population. In the study, it is evident that those who did not have premorbid conditions recovered and went on to have a better life adjusted years compared to those who had any form of premorbid health i</w:t>
      </w:r>
      <w:r w:rsidR="006614A3">
        <w:t>ndicators. This is something that individuals in the future need to look into to ensure that there is adjusted treatment for this special group</w:t>
      </w:r>
      <w:r w:rsidR="00227DE6">
        <w:t xml:space="preserve"> (</w:t>
      </w:r>
      <w:r w:rsidR="00227DE6">
        <w:rPr>
          <w:rFonts w:eastAsia="Arial" w:cs="Times New Roman"/>
          <w:szCs w:val="24"/>
        </w:rPr>
        <w:t xml:space="preserve">Dettling-Ihnenfeldt, </w:t>
      </w:r>
      <w:r w:rsidR="00227DE6" w:rsidRPr="00A73027">
        <w:rPr>
          <w:rFonts w:eastAsia="Arial" w:cs="Times New Roman"/>
          <w:szCs w:val="24"/>
        </w:rPr>
        <w:t>2017)</w:t>
      </w:r>
      <w:r w:rsidR="006614A3">
        <w:t xml:space="preserve">. Special measures should be </w:t>
      </w:r>
      <w:r w:rsidR="006614A3">
        <w:lastRenderedPageBreak/>
        <w:t>put in place so that recovery after ICU care is better a</w:t>
      </w:r>
      <w:r w:rsidR="006614A3">
        <w:t>nd almost equal to them just like the other group. Both short and long term implications would have been addressed after instituting such measures in the future. For example, one does not expect the very old patient to have the same recovery process as a y</w:t>
      </w:r>
      <w:r w:rsidR="006614A3">
        <w:t>oung old simply because their organ function functions are different. However, providing specialized care like having a geriatric specialist during their ICU stay would very well boost the old patient's recovery process and better-adjusted life years</w:t>
      </w:r>
      <w:r w:rsidR="008B4486">
        <w:t xml:space="preserve"> (</w:t>
      </w:r>
      <w:r w:rsidR="008B4486">
        <w:rPr>
          <w:rFonts w:eastAsia="Arial" w:cs="Times New Roman"/>
          <w:szCs w:val="24"/>
        </w:rPr>
        <w:t xml:space="preserve">Dettling-Ihnenfeldt, </w:t>
      </w:r>
      <w:r w:rsidR="008B4486" w:rsidRPr="00A73027">
        <w:rPr>
          <w:rFonts w:eastAsia="Arial" w:cs="Times New Roman"/>
          <w:szCs w:val="24"/>
        </w:rPr>
        <w:t>2017)</w:t>
      </w:r>
      <w:r w:rsidR="006614A3">
        <w:t xml:space="preserve">. </w:t>
      </w:r>
    </w:p>
    <w:p w:rsidR="003405B2" w:rsidRDefault="006614A3" w:rsidP="00227DE6">
      <w:pPr>
        <w:ind w:firstLine="720"/>
      </w:pPr>
      <w:r>
        <w:t xml:space="preserve">Based on the research findings and evidence, there should be a change in funding for the better quality healthcare provision in the ICU setup. </w:t>
      </w:r>
      <w:r w:rsidR="00DE25A7">
        <w:t>The findings</w:t>
      </w:r>
      <w:r>
        <w:t xml:space="preserve"> would help in coming up with policies that define an ideal and </w:t>
      </w:r>
      <w:r w:rsidR="00DE25A7">
        <w:t>acceptable ICU department. This is put in place as requirements would force healthcare providers to meet the criteria before they are allowed to operate and ICU which would guarantee quality care delivery and better recovery for the patients of all categories.</w:t>
      </w:r>
    </w:p>
    <w:p w:rsidR="009465D1" w:rsidRPr="008641F0" w:rsidRDefault="006614A3" w:rsidP="009465D1">
      <w:pPr>
        <w:jc w:val="center"/>
        <w:rPr>
          <w:b/>
        </w:rPr>
      </w:pPr>
      <w:r w:rsidRPr="008641F0">
        <w:rPr>
          <w:b/>
        </w:rPr>
        <w:t>Part B</w:t>
      </w:r>
    </w:p>
    <w:p w:rsidR="009465D1" w:rsidRPr="008641F0" w:rsidRDefault="006614A3" w:rsidP="009465D1">
      <w:pPr>
        <w:rPr>
          <w:b/>
          <w:i/>
        </w:rPr>
      </w:pPr>
      <w:r w:rsidRPr="008641F0">
        <w:rPr>
          <w:b/>
          <w:i/>
        </w:rPr>
        <w:t>The Case</w:t>
      </w:r>
    </w:p>
    <w:p w:rsidR="009465D1" w:rsidRDefault="006614A3" w:rsidP="009465D1">
      <w:pPr>
        <w:ind w:firstLine="720"/>
      </w:pPr>
      <w:r>
        <w:t xml:space="preserve">In the year 2019, November 5, the </w:t>
      </w:r>
      <w:r w:rsidRPr="0027322C">
        <w:t>University of Rochester Medical Center (URMC)</w:t>
      </w:r>
      <w:r>
        <w:t xml:space="preserve"> was found having violated the rules on HIPAA and agreed to pay three million US dollars as compensation. The Office of Civil Rights (OCR) in the Department of Health </w:t>
      </w:r>
      <w:r>
        <w:t xml:space="preserve">and Human Services noted that the said medical center had acted against the provisions of </w:t>
      </w:r>
      <w:r w:rsidRPr="0027322C">
        <w:t>Health Insurance Portability and Accountability Act (HIPAA) Privacy and Security Rules</w:t>
      </w:r>
      <w:r>
        <w:t xml:space="preserve"> on protected health information (</w:t>
      </w:r>
      <w:hyperlink r:id="rId7" w:history="1">
        <w:r w:rsidRPr="00440C6A">
          <w:rPr>
            <w:rStyle w:val="Hyperlink"/>
          </w:rPr>
          <w:t>https://www.hhs.gov/about/news/2019/11/05/failure-to-encrypt-mobile-devices-leads-to-3-million-dollar-hipaa-settlement.html</w:t>
        </w:r>
      </w:hyperlink>
      <w:r>
        <w:t>). The medical center had reported that</w:t>
      </w:r>
      <w:r>
        <w:t xml:space="preserve"> it had lost a flash device and a laptop which had electronic health information obtained from patients at the medical center. The hospital went ahead and acknowledged that it had not encrypted the </w:t>
      </w:r>
      <w:r>
        <w:lastRenderedPageBreak/>
        <w:t>information and hence anybody who had the two devices woul</w:t>
      </w:r>
      <w:r>
        <w:t>d easily access the health information. Investigations conducted by the ORC revealed that the institution had failed to conduct risk analysis on the data and information which they were accessed using the mobile devices. The loss of the two devices meant t</w:t>
      </w:r>
      <w:r>
        <w:t>hat the information would definitely be accessed as there was no need to decrypt the information. The institution had, therefore, violated the HIPAA and Security Rules and hence liable to the fine.</w:t>
      </w:r>
    </w:p>
    <w:p w:rsidR="009465D1" w:rsidRPr="008641F0" w:rsidRDefault="006614A3" w:rsidP="009465D1">
      <w:pPr>
        <w:rPr>
          <w:b/>
          <w:i/>
        </w:rPr>
      </w:pPr>
      <w:r w:rsidRPr="008641F0">
        <w:rPr>
          <w:b/>
          <w:i/>
        </w:rPr>
        <w:t>How Violation Would Have Been Avoided</w:t>
      </w:r>
    </w:p>
    <w:p w:rsidR="009465D1" w:rsidRDefault="006614A3" w:rsidP="009465D1">
      <w:pPr>
        <w:ind w:firstLine="720"/>
      </w:pPr>
      <w:r>
        <w:t xml:space="preserve">The violation might </w:t>
      </w:r>
      <w:r>
        <w:t>have been avoided had the institution observed the regulations set by the HIPAA concerning electronically protected health information. The act has provided that any institution that uses mobile devices to access health information which should be confiden</w:t>
      </w:r>
      <w:r>
        <w:t xml:space="preserve">tial has to put measures to ensure such protection (Moore &amp; Frye, </w:t>
      </w:r>
      <w:r w:rsidRPr="00440C6A">
        <w:t>2019)</w:t>
      </w:r>
      <w:r>
        <w:t>. The hospital should, therefore, have taken the step of encrypting the health information on mobile devices like the flash device and the laptop. This, in turn, would have made it impo</w:t>
      </w:r>
      <w:r>
        <w:t>ssible for unauthorized persons from accessing the information even if the devices got lost or even stolen. In fact, ORC had had an investigation on the same issue a few years back on the same institution and had advised the hospital to correct that vulner</w:t>
      </w:r>
      <w:r>
        <w:t>ability. However, the hospital, unfortunately, had not taken any step by the time the two mobile devices lost. Prior to the commencement of the use of mobile devices in accessing the patient health information in electronic form, the institution would have</w:t>
      </w:r>
      <w:r>
        <w:t xml:space="preserve"> first carried out a survey on record patient information privacy and confidentiality (</w:t>
      </w:r>
      <w:r w:rsidRPr="00440C6A">
        <w:t>Drolet</w:t>
      </w:r>
      <w:r>
        <w:t xml:space="preserve"> et al., 2017). This is actually provided for in the ePHI as per the Security Rules. Its information technology experts would have come up with an encryption/decry</w:t>
      </w:r>
      <w:r>
        <w:t>ption manner of securing health information and records for patient confidentiality. The institution would have actually not violated the HIPAA and Security Rules and the OCR would not have enforced the fine on it.</w:t>
      </w:r>
    </w:p>
    <w:p w:rsidR="009465D1" w:rsidRPr="003F37AB" w:rsidRDefault="006614A3" w:rsidP="009465D1">
      <w:pPr>
        <w:rPr>
          <w:b/>
          <w:i/>
        </w:rPr>
      </w:pPr>
      <w:r w:rsidRPr="003F37AB">
        <w:rPr>
          <w:b/>
          <w:i/>
        </w:rPr>
        <w:lastRenderedPageBreak/>
        <w:t xml:space="preserve">Connections between HIPAA Compliance and </w:t>
      </w:r>
      <w:r w:rsidRPr="003F37AB">
        <w:rPr>
          <w:b/>
          <w:i/>
        </w:rPr>
        <w:t>Ethical Behavior</w:t>
      </w:r>
    </w:p>
    <w:p w:rsidR="009465D1" w:rsidRDefault="006614A3" w:rsidP="003F37AB">
      <w:pPr>
        <w:ind w:firstLine="720"/>
      </w:pPr>
      <w:r>
        <w:t>HIPAA was established to regulate the relationship between the patient and the healthcare provider that is the hospital and the healthcare workers. This is more so as regards to the patient information</w:t>
      </w:r>
      <w:r w:rsidR="00185FA2">
        <w:t xml:space="preserve"> and details. The HIPAA was established with the aim of  </w:t>
      </w:r>
      <w:r>
        <w:t>p</w:t>
      </w:r>
      <w:bookmarkStart w:id="0" w:name="_GoBack"/>
      <w:bookmarkEnd w:id="0"/>
      <w:r>
        <w:t>r</w:t>
      </w:r>
      <w:r>
        <w:t>otect</w:t>
      </w:r>
      <w:r w:rsidR="00185FA2">
        <w:t>ing  the patient data</w:t>
      </w:r>
      <w:r>
        <w:t xml:space="preserve"> in the form of medical records from </w:t>
      </w:r>
      <w:r>
        <w:t>access by an unauthorized person</w:t>
      </w:r>
      <w:r w:rsidR="00185FA2">
        <w:t xml:space="preserve"> as in the case of third parties</w:t>
      </w:r>
      <w:r>
        <w:t xml:space="preserve">.  Ethical behavior refers to acts that demonstrate respect for moral principles (Vemuri &amp; Dunn, </w:t>
      </w:r>
      <w:r w:rsidRPr="00440C6A">
        <w:t>2017)</w:t>
      </w:r>
      <w:r>
        <w:t>. One of the moral pri</w:t>
      </w:r>
      <w:r>
        <w:t>nciples in healthcare is confidentiality and privacy. This means that the patient medical details from diagnosis, management, and even prognosis should not be shared with other people without the approval of the patient. There is, therefore, a connection b</w:t>
      </w:r>
      <w:r>
        <w:t>etween HIPAA compliance and ethical behavior since both regulate health records and information disclosure to third parties. In both cases, it is only the patient who has the right to the information pertaining to their health. It is only them who can give</w:t>
      </w:r>
      <w:r>
        <w:t xml:space="preserve"> permission to the healthcare provider to share information with the third party.  </w:t>
      </w:r>
    </w:p>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9465D1" w:rsidP="009465D1"/>
    <w:p w:rsidR="009465D1" w:rsidRDefault="006614A3" w:rsidP="009465D1">
      <w:pPr>
        <w:jc w:val="center"/>
      </w:pPr>
      <w:r>
        <w:lastRenderedPageBreak/>
        <w:t>References</w:t>
      </w:r>
    </w:p>
    <w:p w:rsidR="009465D1" w:rsidRDefault="006614A3" w:rsidP="009465D1">
      <w:pPr>
        <w:ind w:left="720" w:hanging="720"/>
        <w:rPr>
          <w:rFonts w:eastAsia="Arial" w:cs="Times New Roman"/>
          <w:szCs w:val="24"/>
        </w:rPr>
      </w:pPr>
      <w:r w:rsidRPr="00A73027">
        <w:rPr>
          <w:rFonts w:eastAsia="Arial" w:cs="Times New Roman"/>
          <w:szCs w:val="24"/>
        </w:rPr>
        <w:t>Dettling-Ihnenfeldt, D. S. (2017). The Post-Intensive Care Syndrome (PICS): Impact of ICU-stay on functioning and implications for rehabilitation care.</w:t>
      </w:r>
    </w:p>
    <w:p w:rsidR="009465D1" w:rsidRDefault="006614A3" w:rsidP="009465D1">
      <w:pPr>
        <w:ind w:left="720" w:hanging="720"/>
      </w:pPr>
      <w:r w:rsidRPr="00440C6A">
        <w:t>Drolet, B. C., Marwaha, J. S., Hyatt, B., Blazar, P. E., &amp; Lifchez, S. D. (2017). Electronic communication of protected health information: privacy, security, and HIPAA compliance. </w:t>
      </w:r>
      <w:r w:rsidRPr="00440C6A">
        <w:rPr>
          <w:i/>
          <w:iCs/>
        </w:rPr>
        <w:t>The Journal of hand surgery</w:t>
      </w:r>
      <w:r w:rsidRPr="00440C6A">
        <w:t>, </w:t>
      </w:r>
      <w:r w:rsidRPr="00440C6A">
        <w:rPr>
          <w:i/>
          <w:iCs/>
        </w:rPr>
        <w:t>42</w:t>
      </w:r>
      <w:r w:rsidRPr="00440C6A">
        <w:t>(6), 411-416.</w:t>
      </w:r>
    </w:p>
    <w:p w:rsidR="009465D1" w:rsidRDefault="006614A3" w:rsidP="009465D1">
      <w:pPr>
        <w:ind w:left="720" w:hanging="720"/>
      </w:pPr>
      <w:hyperlink r:id="rId8" w:history="1">
        <w:r w:rsidRPr="00440C6A">
          <w:rPr>
            <w:rStyle w:val="Hyperlink"/>
          </w:rPr>
          <w:t>https://www.hhs.gov/about/news/2019/11/05/failure-to-encrypt-mobile-devices-leads-to-3-million-dollar-hipaa-settlement.html</w:t>
        </w:r>
      </w:hyperlink>
    </w:p>
    <w:p w:rsidR="009465D1" w:rsidRDefault="006614A3" w:rsidP="009465D1">
      <w:pPr>
        <w:ind w:left="720" w:hanging="720"/>
      </w:pPr>
      <w:hyperlink r:id="rId9" w:history="1">
        <w:r w:rsidRPr="00440C6A">
          <w:rPr>
            <w:rStyle w:val="Hyperlink"/>
          </w:rPr>
          <w:t>https://www.hhs.gov/hipaa/for-professionals/privacy/laws-regulations/index.html</w:t>
        </w:r>
      </w:hyperlink>
    </w:p>
    <w:p w:rsidR="009465D1" w:rsidRDefault="006614A3" w:rsidP="009465D1">
      <w:pPr>
        <w:ind w:left="720" w:hanging="720"/>
      </w:pPr>
      <w:r w:rsidRPr="00440C6A">
        <w:t>Moore, W., &amp; Frye, S. (2019). Review of HIPAA, part 1: history, protected health i</w:t>
      </w:r>
      <w:r w:rsidRPr="00440C6A">
        <w:t>nformation, and privacy and security rules. </w:t>
      </w:r>
      <w:r w:rsidRPr="00440C6A">
        <w:rPr>
          <w:i/>
          <w:iCs/>
        </w:rPr>
        <w:t>Journal of nuclear medicine technology</w:t>
      </w:r>
      <w:r w:rsidRPr="00440C6A">
        <w:t>, </w:t>
      </w:r>
      <w:r w:rsidRPr="00440C6A">
        <w:rPr>
          <w:i/>
          <w:iCs/>
        </w:rPr>
        <w:t>47</w:t>
      </w:r>
      <w:r w:rsidRPr="00440C6A">
        <w:t>(4), 269-272.</w:t>
      </w:r>
    </w:p>
    <w:p w:rsidR="009465D1" w:rsidRDefault="006614A3" w:rsidP="009465D1">
      <w:pPr>
        <w:ind w:left="720" w:hanging="720"/>
        <w:rPr>
          <w:rFonts w:eastAsia="Arial" w:cs="Times New Roman"/>
          <w:color w:val="1155CC"/>
          <w:szCs w:val="24"/>
          <w:u w:val="single"/>
        </w:rPr>
      </w:pPr>
      <w:hyperlink r:id="rId10" w:history="1">
        <w:r w:rsidRPr="00A73027">
          <w:rPr>
            <w:rFonts w:eastAsia="Arial" w:cs="Times New Roman"/>
            <w:color w:val="1155CC"/>
            <w:szCs w:val="24"/>
            <w:u w:val="single"/>
          </w:rPr>
          <w:t>Quality of life in the five years after intensive care: A cohort study.</w:t>
        </w:r>
      </w:hyperlink>
    </w:p>
    <w:p w:rsidR="009465D1" w:rsidRPr="00A73027" w:rsidRDefault="006614A3" w:rsidP="009465D1">
      <w:pPr>
        <w:ind w:left="720" w:hanging="720"/>
        <w:rPr>
          <w:rFonts w:eastAsia="Arial" w:cs="Times New Roman"/>
          <w:szCs w:val="24"/>
        </w:rPr>
      </w:pPr>
      <w:r w:rsidRPr="00A73027">
        <w:rPr>
          <w:rFonts w:eastAsia="Arial" w:cs="Times New Roman"/>
          <w:szCs w:val="24"/>
        </w:rPr>
        <w:t>Sevin</w:t>
      </w:r>
      <w:r w:rsidRPr="00A73027">
        <w:rPr>
          <w:rFonts w:eastAsia="Arial" w:cs="Times New Roman"/>
          <w:szCs w:val="24"/>
        </w:rPr>
        <w:t>, C. M., Bloom, S. L., Jackson, J. C., Wang, L., Ely, E. W., &amp; Stollings, J. L. (2018). Comprehensive care of ICU survivors: Development and implementation of an ICU recovery center. </w:t>
      </w:r>
      <w:r w:rsidRPr="00A73027">
        <w:rPr>
          <w:rFonts w:eastAsia="Arial" w:cs="Times New Roman"/>
          <w:i/>
          <w:iCs/>
          <w:szCs w:val="24"/>
        </w:rPr>
        <w:t>Journal of critical care</w:t>
      </w:r>
      <w:r w:rsidRPr="00A73027">
        <w:rPr>
          <w:rFonts w:eastAsia="Arial" w:cs="Times New Roman"/>
          <w:szCs w:val="24"/>
        </w:rPr>
        <w:t>, </w:t>
      </w:r>
      <w:r w:rsidRPr="00A73027">
        <w:rPr>
          <w:rFonts w:eastAsia="Arial" w:cs="Times New Roman"/>
          <w:i/>
          <w:iCs/>
          <w:szCs w:val="24"/>
        </w:rPr>
        <w:t>46</w:t>
      </w:r>
      <w:r w:rsidRPr="00A73027">
        <w:rPr>
          <w:rFonts w:eastAsia="Arial" w:cs="Times New Roman"/>
          <w:szCs w:val="24"/>
        </w:rPr>
        <w:t>, 141-148.</w:t>
      </w:r>
    </w:p>
    <w:p w:rsidR="009465D1" w:rsidRDefault="006614A3" w:rsidP="009465D1">
      <w:pPr>
        <w:ind w:left="720" w:hanging="720"/>
      </w:pPr>
      <w:r w:rsidRPr="00440C6A">
        <w:t xml:space="preserve">Vemuri, M., &amp; Dunn, L. B. (2017). </w:t>
      </w:r>
      <w:r w:rsidRPr="00440C6A">
        <w:t>Ethical and Clinical Issues in Integrated Care Settings: Patient Privacy Concerns and Electronic Health Records. </w:t>
      </w:r>
      <w:r w:rsidRPr="00440C6A">
        <w:rPr>
          <w:i/>
          <w:iCs/>
        </w:rPr>
        <w:t>Focus</w:t>
      </w:r>
      <w:r w:rsidRPr="00440C6A">
        <w:t>, </w:t>
      </w:r>
      <w:r w:rsidRPr="00440C6A">
        <w:rPr>
          <w:i/>
          <w:iCs/>
        </w:rPr>
        <w:t>15</w:t>
      </w:r>
      <w:r w:rsidRPr="00440C6A">
        <w:t>(3), 301-305.</w:t>
      </w:r>
    </w:p>
    <w:p w:rsidR="00A73027" w:rsidRDefault="00A73027"/>
    <w:sectPr w:rsidR="00A73027" w:rsidSect="009465D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4A3" w:rsidRDefault="006614A3">
      <w:pPr>
        <w:spacing w:line="240" w:lineRule="auto"/>
      </w:pPr>
      <w:r>
        <w:separator/>
      </w:r>
    </w:p>
  </w:endnote>
  <w:endnote w:type="continuationSeparator" w:id="0">
    <w:p w:rsidR="006614A3" w:rsidRDefault="006614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4A3" w:rsidRDefault="006614A3">
      <w:pPr>
        <w:spacing w:line="240" w:lineRule="auto"/>
      </w:pPr>
      <w:r>
        <w:separator/>
      </w:r>
    </w:p>
  </w:footnote>
  <w:footnote w:type="continuationSeparator" w:id="0">
    <w:p w:rsidR="006614A3" w:rsidRDefault="006614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5D1" w:rsidRDefault="006614A3">
    <w:pPr>
      <w:pStyle w:val="Header"/>
      <w:jc w:val="right"/>
    </w:pPr>
    <w:r>
      <w:t xml:space="preserve">HEALTHCARE ASSIGNMENT                            </w:t>
    </w:r>
    <w:r>
      <w:t xml:space="preserve">                                                                        </w:t>
    </w:r>
    <w:sdt>
      <w:sdtPr>
        <w:id w:val="19066441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5FA2">
          <w:rPr>
            <w:noProof/>
          </w:rPr>
          <w:t>5</w:t>
        </w:r>
        <w:r>
          <w:rPr>
            <w:noProof/>
          </w:rPr>
          <w:fldChar w:fldCharType="end"/>
        </w:r>
      </w:sdtContent>
    </w:sdt>
  </w:p>
  <w:p w:rsidR="009465D1" w:rsidRDefault="009465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5D1" w:rsidRDefault="006614A3">
    <w:pPr>
      <w:pStyle w:val="Header"/>
      <w:jc w:val="right"/>
    </w:pPr>
    <w:r>
      <w:t xml:space="preserve">Running head: HEALTHCARE ASSIGNMENT                                                                            </w:t>
    </w:r>
    <w:sdt>
      <w:sdtPr>
        <w:id w:val="1111009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5FA2">
          <w:rPr>
            <w:noProof/>
          </w:rPr>
          <w:t>1</w:t>
        </w:r>
        <w:r>
          <w:rPr>
            <w:noProof/>
          </w:rPr>
          <w:fldChar w:fldCharType="end"/>
        </w:r>
      </w:sdtContent>
    </w:sdt>
  </w:p>
  <w:p w:rsidR="009465D1" w:rsidRDefault="009465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057"/>
    <w:rsid w:val="00185FA2"/>
    <w:rsid w:val="00227DE6"/>
    <w:rsid w:val="0027322C"/>
    <w:rsid w:val="002857BD"/>
    <w:rsid w:val="003405B2"/>
    <w:rsid w:val="003F37AB"/>
    <w:rsid w:val="0043510E"/>
    <w:rsid w:val="00440C6A"/>
    <w:rsid w:val="006614A3"/>
    <w:rsid w:val="006F548D"/>
    <w:rsid w:val="007B2DB9"/>
    <w:rsid w:val="008641F0"/>
    <w:rsid w:val="008B4486"/>
    <w:rsid w:val="009465D1"/>
    <w:rsid w:val="009F5DEC"/>
    <w:rsid w:val="00A126BD"/>
    <w:rsid w:val="00A73027"/>
    <w:rsid w:val="00AE5A50"/>
    <w:rsid w:val="00B3310C"/>
    <w:rsid w:val="00DE25A7"/>
    <w:rsid w:val="00F63057"/>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5D1"/>
    <w:pPr>
      <w:tabs>
        <w:tab w:val="center" w:pos="4680"/>
        <w:tab w:val="right" w:pos="9360"/>
      </w:tabs>
      <w:spacing w:line="240" w:lineRule="auto"/>
    </w:pPr>
  </w:style>
  <w:style w:type="character" w:customStyle="1" w:styleId="HeaderChar">
    <w:name w:val="Header Char"/>
    <w:basedOn w:val="DefaultParagraphFont"/>
    <w:link w:val="Header"/>
    <w:uiPriority w:val="99"/>
    <w:rsid w:val="009465D1"/>
  </w:style>
  <w:style w:type="paragraph" w:styleId="Footer">
    <w:name w:val="footer"/>
    <w:basedOn w:val="Normal"/>
    <w:link w:val="FooterChar"/>
    <w:uiPriority w:val="99"/>
    <w:unhideWhenUsed/>
    <w:rsid w:val="009465D1"/>
    <w:pPr>
      <w:tabs>
        <w:tab w:val="center" w:pos="4680"/>
        <w:tab w:val="right" w:pos="9360"/>
      </w:tabs>
      <w:spacing w:line="240" w:lineRule="auto"/>
    </w:pPr>
  </w:style>
  <w:style w:type="character" w:customStyle="1" w:styleId="FooterChar">
    <w:name w:val="Footer Char"/>
    <w:basedOn w:val="DefaultParagraphFont"/>
    <w:link w:val="Footer"/>
    <w:uiPriority w:val="99"/>
    <w:rsid w:val="009465D1"/>
  </w:style>
  <w:style w:type="character" w:styleId="Hyperlink">
    <w:name w:val="Hyperlink"/>
    <w:basedOn w:val="DefaultParagraphFont"/>
    <w:uiPriority w:val="99"/>
    <w:unhideWhenUsed/>
    <w:rsid w:val="009465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5D1"/>
    <w:pPr>
      <w:tabs>
        <w:tab w:val="center" w:pos="4680"/>
        <w:tab w:val="right" w:pos="9360"/>
      </w:tabs>
      <w:spacing w:line="240" w:lineRule="auto"/>
    </w:pPr>
  </w:style>
  <w:style w:type="character" w:customStyle="1" w:styleId="HeaderChar">
    <w:name w:val="Header Char"/>
    <w:basedOn w:val="DefaultParagraphFont"/>
    <w:link w:val="Header"/>
    <w:uiPriority w:val="99"/>
    <w:rsid w:val="009465D1"/>
  </w:style>
  <w:style w:type="paragraph" w:styleId="Footer">
    <w:name w:val="footer"/>
    <w:basedOn w:val="Normal"/>
    <w:link w:val="FooterChar"/>
    <w:uiPriority w:val="99"/>
    <w:unhideWhenUsed/>
    <w:rsid w:val="009465D1"/>
    <w:pPr>
      <w:tabs>
        <w:tab w:val="center" w:pos="4680"/>
        <w:tab w:val="right" w:pos="9360"/>
      </w:tabs>
      <w:spacing w:line="240" w:lineRule="auto"/>
    </w:pPr>
  </w:style>
  <w:style w:type="character" w:customStyle="1" w:styleId="FooterChar">
    <w:name w:val="Footer Char"/>
    <w:basedOn w:val="DefaultParagraphFont"/>
    <w:link w:val="Footer"/>
    <w:uiPriority w:val="99"/>
    <w:rsid w:val="009465D1"/>
  </w:style>
  <w:style w:type="character" w:styleId="Hyperlink">
    <w:name w:val="Hyperlink"/>
    <w:basedOn w:val="DefaultParagraphFont"/>
    <w:uiPriority w:val="99"/>
    <w:unhideWhenUsed/>
    <w:rsid w:val="009465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about/news/2019/11/05/failure-to-encrypt-mobile-devices-leads-to-3-million-dollar-hipaa-settlement.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hs.gov/about/news/2019/11/05/failure-to-encrypt-mobile-devices-leads-to-3-million-dollar-hipaa-settlement.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mc/articles/PMC2875518/" TargetMode="External"/><Relationship Id="rId4" Type="http://schemas.openxmlformats.org/officeDocument/2006/relationships/webSettings" Target="webSettings.xml"/><Relationship Id="rId9" Type="http://schemas.openxmlformats.org/officeDocument/2006/relationships/hyperlink" Target="https://www.hhs.gov/hipaa/for-professionals/privacy/laws-regulations/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2020-01-19T08:11:00Z</dcterms:created>
  <dcterms:modified xsi:type="dcterms:W3CDTF">2020-01-19T08:21:00Z</dcterms:modified>
</cp:coreProperties>
</file>